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03A6" w14:textId="3F293BD1" w:rsidR="00D866DC" w:rsidRDefault="00D866DC" w:rsidP="00C569F4">
      <w:pPr>
        <w:rPr>
          <w:b/>
          <w:bCs/>
          <w:sz w:val="28"/>
          <w:szCs w:val="28"/>
        </w:rPr>
      </w:pPr>
      <w:r>
        <w:rPr>
          <w:b/>
          <w:bCs/>
          <w:sz w:val="28"/>
          <w:szCs w:val="28"/>
        </w:rPr>
        <w:t xml:space="preserve">BRIEFING HMIS </w:t>
      </w:r>
      <w:r w:rsidR="00AE29CF">
        <w:rPr>
          <w:b/>
          <w:bCs/>
          <w:sz w:val="28"/>
          <w:szCs w:val="28"/>
        </w:rPr>
        <w:t xml:space="preserve"> FUNDING UPDATE</w:t>
      </w:r>
    </w:p>
    <w:p w14:paraId="1391F961" w14:textId="4C359912" w:rsidR="00AE29CF" w:rsidRDefault="00AE29CF" w:rsidP="00C569F4">
      <w:pPr>
        <w:rPr>
          <w:b/>
          <w:bCs/>
          <w:sz w:val="28"/>
          <w:szCs w:val="28"/>
        </w:rPr>
      </w:pPr>
      <w:r>
        <w:rPr>
          <w:b/>
          <w:bCs/>
          <w:sz w:val="28"/>
          <w:szCs w:val="28"/>
        </w:rPr>
        <w:t>1/21/26</w:t>
      </w:r>
    </w:p>
    <w:p w14:paraId="5BECF200" w14:textId="77777777" w:rsidR="00D866DC" w:rsidRDefault="00D866DC" w:rsidP="00C569F4">
      <w:pPr>
        <w:rPr>
          <w:b/>
          <w:bCs/>
          <w:sz w:val="28"/>
          <w:szCs w:val="28"/>
        </w:rPr>
      </w:pPr>
    </w:p>
    <w:p w14:paraId="292D0B0B" w14:textId="2E6D664F" w:rsidR="00D866DC" w:rsidRDefault="00D866DC" w:rsidP="00C569F4">
      <w:pPr>
        <w:rPr>
          <w:b/>
          <w:bCs/>
          <w:sz w:val="28"/>
          <w:szCs w:val="28"/>
        </w:rPr>
      </w:pPr>
      <w:r>
        <w:rPr>
          <w:b/>
          <w:bCs/>
          <w:sz w:val="28"/>
          <w:szCs w:val="28"/>
        </w:rPr>
        <w:t>EXECUTIVE SUMMARY- TAKEAWAYS</w:t>
      </w:r>
    </w:p>
    <w:p w14:paraId="6F7DC507" w14:textId="77777777" w:rsidR="00D866DC" w:rsidRDefault="00D866DC" w:rsidP="00C569F4">
      <w:pPr>
        <w:rPr>
          <w:b/>
          <w:bCs/>
          <w:sz w:val="28"/>
          <w:szCs w:val="28"/>
        </w:rPr>
      </w:pPr>
    </w:p>
    <w:p w14:paraId="4D21F919" w14:textId="77777777" w:rsidR="00D866DC" w:rsidRPr="00D866DC" w:rsidRDefault="00D866DC" w:rsidP="00D866DC">
      <w:pPr>
        <w:pStyle w:val="ListParagraph"/>
        <w:numPr>
          <w:ilvl w:val="0"/>
          <w:numId w:val="3"/>
        </w:numPr>
        <w:rPr>
          <w:sz w:val="28"/>
          <w:szCs w:val="28"/>
        </w:rPr>
      </w:pPr>
      <w:r w:rsidRPr="00D866DC">
        <w:rPr>
          <w:sz w:val="28"/>
          <w:szCs w:val="28"/>
        </w:rPr>
        <w:t>Michigan has a nationally recognized data collection system (HMIS) for over twenty years</w:t>
      </w:r>
    </w:p>
    <w:p w14:paraId="2B5E2167" w14:textId="188F328D" w:rsidR="00D866DC" w:rsidRPr="00D866DC" w:rsidRDefault="00D866DC" w:rsidP="00D866DC">
      <w:pPr>
        <w:pStyle w:val="ListParagraph"/>
        <w:numPr>
          <w:ilvl w:val="0"/>
          <w:numId w:val="3"/>
        </w:numPr>
        <w:rPr>
          <w:sz w:val="28"/>
          <w:szCs w:val="28"/>
        </w:rPr>
      </w:pPr>
      <w:r w:rsidRPr="00D866DC">
        <w:rPr>
          <w:sz w:val="28"/>
          <w:szCs w:val="28"/>
        </w:rPr>
        <w:t>It is an efficient system with an operating cost below $1,200,000, well below the cost of other similar systems</w:t>
      </w:r>
      <w:r>
        <w:rPr>
          <w:sz w:val="28"/>
          <w:szCs w:val="28"/>
        </w:rPr>
        <w:t>- it is not possible to do more with less</w:t>
      </w:r>
    </w:p>
    <w:p w14:paraId="553446C8" w14:textId="77777777" w:rsidR="00D866DC" w:rsidRPr="00D866DC" w:rsidRDefault="00D866DC" w:rsidP="00D866DC">
      <w:pPr>
        <w:pStyle w:val="ListParagraph"/>
        <w:numPr>
          <w:ilvl w:val="0"/>
          <w:numId w:val="3"/>
        </w:numPr>
        <w:rPr>
          <w:sz w:val="28"/>
          <w:szCs w:val="28"/>
        </w:rPr>
      </w:pPr>
      <w:r w:rsidRPr="00D866DC">
        <w:rPr>
          <w:sz w:val="28"/>
          <w:szCs w:val="28"/>
        </w:rPr>
        <w:t>It allows communities to target services where they are most needed, tracks demographics and trends, and has been incredibly useful in making homeless services more efficient</w:t>
      </w:r>
    </w:p>
    <w:p w14:paraId="518C42BE" w14:textId="77777777" w:rsidR="00D866DC" w:rsidRPr="00D866DC" w:rsidRDefault="00D866DC" w:rsidP="00D866DC">
      <w:pPr>
        <w:pStyle w:val="ListParagraph"/>
        <w:numPr>
          <w:ilvl w:val="0"/>
          <w:numId w:val="3"/>
        </w:numPr>
        <w:rPr>
          <w:sz w:val="28"/>
          <w:szCs w:val="28"/>
        </w:rPr>
      </w:pPr>
      <w:r w:rsidRPr="00D866DC">
        <w:rPr>
          <w:sz w:val="28"/>
          <w:szCs w:val="28"/>
        </w:rPr>
        <w:t>It is also a necessary requirement for all Federal HUD grants</w:t>
      </w:r>
    </w:p>
    <w:p w14:paraId="0CE955EF" w14:textId="3D5A1056" w:rsidR="00D866DC" w:rsidRPr="00D866DC" w:rsidRDefault="00D866DC" w:rsidP="00D866DC">
      <w:pPr>
        <w:pStyle w:val="ListParagraph"/>
        <w:numPr>
          <w:ilvl w:val="0"/>
          <w:numId w:val="3"/>
        </w:numPr>
        <w:rPr>
          <w:sz w:val="28"/>
          <w:szCs w:val="28"/>
        </w:rPr>
      </w:pPr>
      <w:r w:rsidRPr="00D866DC">
        <w:rPr>
          <w:sz w:val="28"/>
          <w:szCs w:val="28"/>
        </w:rPr>
        <w:t>Th</w:t>
      </w:r>
      <w:r w:rsidR="00452F3F">
        <w:rPr>
          <w:sz w:val="28"/>
          <w:szCs w:val="28"/>
        </w:rPr>
        <w:t>e HMIS</w:t>
      </w:r>
      <w:r w:rsidRPr="00D866DC">
        <w:rPr>
          <w:sz w:val="28"/>
          <w:szCs w:val="28"/>
        </w:rPr>
        <w:t xml:space="preserve"> grant ends April 30.  If the system goes down- because of legacy contracts and experienced staffing, it will cost almost double to restart</w:t>
      </w:r>
    </w:p>
    <w:p w14:paraId="42880CC5" w14:textId="77777777" w:rsidR="00D866DC" w:rsidRPr="00D866DC" w:rsidRDefault="00D866DC" w:rsidP="00C569F4">
      <w:pPr>
        <w:pStyle w:val="ListParagraph"/>
        <w:numPr>
          <w:ilvl w:val="0"/>
          <w:numId w:val="3"/>
        </w:numPr>
        <w:rPr>
          <w:sz w:val="28"/>
          <w:szCs w:val="28"/>
        </w:rPr>
      </w:pPr>
      <w:r w:rsidRPr="00D866DC">
        <w:rPr>
          <w:sz w:val="28"/>
          <w:szCs w:val="28"/>
        </w:rPr>
        <w:t>State funding for HMIS is critical!</w:t>
      </w:r>
    </w:p>
    <w:p w14:paraId="3FDA94EA" w14:textId="77777777" w:rsidR="00D866DC" w:rsidRDefault="00D866DC" w:rsidP="00D866DC">
      <w:pPr>
        <w:rPr>
          <w:b/>
          <w:bCs/>
          <w:sz w:val="28"/>
          <w:szCs w:val="28"/>
        </w:rPr>
      </w:pPr>
    </w:p>
    <w:p w14:paraId="51090145" w14:textId="0C9B60BB" w:rsidR="00DE4E5B" w:rsidRPr="00D866DC" w:rsidRDefault="00DE4E5B" w:rsidP="00D866DC">
      <w:pPr>
        <w:rPr>
          <w:b/>
          <w:bCs/>
          <w:sz w:val="28"/>
          <w:szCs w:val="28"/>
        </w:rPr>
      </w:pPr>
      <w:r w:rsidRPr="00D866DC">
        <w:rPr>
          <w:b/>
          <w:bCs/>
          <w:sz w:val="28"/>
          <w:szCs w:val="28"/>
        </w:rPr>
        <w:t>S</w:t>
      </w:r>
      <w:r w:rsidR="00D866DC">
        <w:rPr>
          <w:b/>
          <w:bCs/>
          <w:sz w:val="28"/>
          <w:szCs w:val="28"/>
        </w:rPr>
        <w:t>TATEMENT REGARDING CURRENT HMIS SYSTEM</w:t>
      </w:r>
    </w:p>
    <w:p w14:paraId="0DD950DE" w14:textId="4BC3195E" w:rsidR="00DE4E5B" w:rsidRDefault="005E5DAE" w:rsidP="00DE4E5B">
      <w:r>
        <w:t xml:space="preserve">Due to the nature of the Statewide HMIS system in Michigan under the current FY24-25 NOFO, the grant that </w:t>
      </w:r>
      <w:r w:rsidR="00D866DC">
        <w:t>underpins</w:t>
      </w:r>
      <w:r>
        <w:t xml:space="preserve"> the system expires on April 30</w:t>
      </w:r>
      <w:r w:rsidRPr="005E5DAE">
        <w:rPr>
          <w:vertAlign w:val="superscript"/>
        </w:rPr>
        <w:t>th</w:t>
      </w:r>
      <w:r w:rsidR="00DE4E5B">
        <w:t xml:space="preserve">.  </w:t>
      </w:r>
      <w:r w:rsidR="00DE4E5B" w:rsidRPr="000A4EB2">
        <w:rPr>
          <w:b/>
          <w:bCs/>
        </w:rPr>
        <w:t xml:space="preserve">This means Michigan will lose </w:t>
      </w:r>
      <w:r w:rsidR="000A4EB2">
        <w:rPr>
          <w:b/>
          <w:bCs/>
        </w:rPr>
        <w:t xml:space="preserve">its </w:t>
      </w:r>
      <w:r w:rsidR="00DE4E5B" w:rsidRPr="000A4EB2">
        <w:rPr>
          <w:b/>
          <w:bCs/>
        </w:rPr>
        <w:t>HMIS.</w:t>
      </w:r>
      <w:r w:rsidR="00DE4E5B">
        <w:t xml:space="preserve">  </w:t>
      </w:r>
      <w:r w:rsidR="000A4EB2">
        <w:t xml:space="preserve">This </w:t>
      </w:r>
      <w:r w:rsidR="00033E13">
        <w:t>affe</w:t>
      </w:r>
      <w:r w:rsidR="000A4EB2">
        <w:t xml:space="preserve">cts every CoC, community, and agency across the state that depends on HMIS to understand homelessness and maintain </w:t>
      </w:r>
      <w:r w:rsidR="00033E13">
        <w:t>grant</w:t>
      </w:r>
      <w:r w:rsidR="000A4EB2">
        <w:t xml:space="preserve"> </w:t>
      </w:r>
      <w:r w:rsidR="00033E13">
        <w:t>compliance</w:t>
      </w:r>
      <w:r w:rsidR="000A4EB2">
        <w:t>.</w:t>
      </w:r>
    </w:p>
    <w:p w14:paraId="0B8969C0" w14:textId="262CCAC0" w:rsidR="000A4EB2" w:rsidRDefault="000A4EB2" w:rsidP="00DE4E5B">
      <w:r>
        <w:t>This loss means:</w:t>
      </w:r>
    </w:p>
    <w:p w14:paraId="502064BA" w14:textId="20A13D93" w:rsidR="000A4EB2" w:rsidRDefault="000A4EB2" w:rsidP="000A4EB2">
      <w:pPr>
        <w:pStyle w:val="ListParagraph"/>
        <w:numPr>
          <w:ilvl w:val="0"/>
          <w:numId w:val="2"/>
        </w:numPr>
      </w:pPr>
      <w:r>
        <w:t xml:space="preserve">We will no longer have a statewide system </w:t>
      </w:r>
      <w:r w:rsidR="00033E13">
        <w:t>to track homelessness across the state</w:t>
      </w:r>
    </w:p>
    <w:p w14:paraId="05C506AB" w14:textId="2674D840" w:rsidR="000A4EB2" w:rsidRDefault="000A4EB2" w:rsidP="000A4EB2">
      <w:pPr>
        <w:pStyle w:val="ListParagraph"/>
        <w:numPr>
          <w:ilvl w:val="0"/>
          <w:numId w:val="2"/>
        </w:numPr>
      </w:pPr>
      <w:r>
        <w:t xml:space="preserve">All CoC and ESG </w:t>
      </w:r>
      <w:r w:rsidR="00033E13">
        <w:t xml:space="preserve">projects in Michigan will be out of compliance with their grants.  They will not be able to produce the required reports, which may threaten </w:t>
      </w:r>
      <w:r w:rsidR="002D59D1">
        <w:t>both present and future funding</w:t>
      </w:r>
      <w:r w:rsidR="00033E13">
        <w:t>.</w:t>
      </w:r>
      <w:r>
        <w:t xml:space="preserve"> </w:t>
      </w:r>
    </w:p>
    <w:p w14:paraId="7D0737D4" w14:textId="757E41EE" w:rsidR="00033E13" w:rsidRDefault="000A4EB2" w:rsidP="000A4EB2">
      <w:pPr>
        <w:pStyle w:val="ListParagraph"/>
        <w:numPr>
          <w:ilvl w:val="0"/>
          <w:numId w:val="2"/>
        </w:numPr>
      </w:pPr>
      <w:r>
        <w:t xml:space="preserve">CoCs </w:t>
      </w:r>
      <w:r w:rsidR="00033E13">
        <w:t xml:space="preserve">will lose the ability to produce all required federal reports, including the Longitudinal System Analysis (LSA), the Point-in-Time Count/Housing Inventory Count (PIT/HIC), and System Performance Measures (SPMs).  Failure to produce these reports means a CoC may not be permitted to apply for future CoC or ESG funding. </w:t>
      </w:r>
    </w:p>
    <w:p w14:paraId="33028A9C" w14:textId="184058B4" w:rsidR="00033E13" w:rsidRDefault="005E5DAE" w:rsidP="00033E13">
      <w:r>
        <w:rPr>
          <w:b/>
          <w:bCs/>
        </w:rPr>
        <w:lastRenderedPageBreak/>
        <w:t>Important Information</w:t>
      </w:r>
      <w:r w:rsidR="00033E13">
        <w:rPr>
          <w:b/>
          <w:bCs/>
        </w:rPr>
        <w:t xml:space="preserve">  </w:t>
      </w:r>
      <w:r w:rsidR="00CB0045">
        <w:rPr>
          <w:b/>
          <w:bCs/>
        </w:rPr>
        <w:br/>
      </w:r>
      <w:r w:rsidR="00033E13">
        <w:t>The Michigan Balance of State HMIS Grant</w:t>
      </w:r>
      <w:r w:rsidR="00EE37ED">
        <w:t xml:space="preserve"> funds the master contract with the HMIS vendor and supports statewide staffing for the MSHMIS.  </w:t>
      </w:r>
      <w:r>
        <w:t>This f</w:t>
      </w:r>
      <w:r w:rsidR="00EE37ED">
        <w:t xml:space="preserve">unding </w:t>
      </w:r>
      <w:r>
        <w:t>pays</w:t>
      </w:r>
      <w:r w:rsidR="00EE37ED">
        <w:t xml:space="preserve"> for the system infrastructure and staffing needed to continue the project.  </w:t>
      </w:r>
      <w:r>
        <w:t>Local HMIS grants fund local staff and licenses not infrastructure and maintenance of the system</w:t>
      </w:r>
      <w:r w:rsidR="00EE37ED">
        <w:t xml:space="preserve">.   </w:t>
      </w:r>
    </w:p>
    <w:p w14:paraId="1E6C6CD3" w14:textId="7906C6CE" w:rsidR="00072DFA" w:rsidRDefault="00CB0045" w:rsidP="00CB0045">
      <w:r>
        <w:t>85%</w:t>
      </w:r>
      <w:r w:rsidR="005E5DAE">
        <w:t xml:space="preserve"> of the budget</w:t>
      </w:r>
      <w:r>
        <w:t xml:space="preserve"> covers </w:t>
      </w:r>
      <w:r w:rsidR="00072DFA">
        <w:t xml:space="preserve">Community Services from </w:t>
      </w:r>
      <w:proofErr w:type="spellStart"/>
      <w:r w:rsidR="00072DFA">
        <w:t>WellSky</w:t>
      </w:r>
      <w:proofErr w:type="spellEnd"/>
      <w:r w:rsidR="00072DFA">
        <w:t xml:space="preserve"> (HMIS software), </w:t>
      </w:r>
      <w:r>
        <w:t>the Green River</w:t>
      </w:r>
      <w:r w:rsidR="00072DFA">
        <w:t xml:space="preserve"> Open Path</w:t>
      </w:r>
      <w:r>
        <w:t xml:space="preserve"> </w:t>
      </w:r>
      <w:r w:rsidR="00072DFA">
        <w:t>W</w:t>
      </w:r>
      <w:r>
        <w:t>arehouse</w:t>
      </w:r>
      <w:r w:rsidR="00072DFA">
        <w:t xml:space="preserve"> (primary data analysis platform)</w:t>
      </w:r>
      <w:r>
        <w:t xml:space="preserve">, </w:t>
      </w:r>
      <w:r w:rsidR="00072DFA">
        <w:t>the</w:t>
      </w:r>
      <w:r>
        <w:t xml:space="preserve"> HMIS training site, our help desk</w:t>
      </w:r>
      <w:r w:rsidR="00072DFA">
        <w:t>,</w:t>
      </w:r>
      <w:r>
        <w:t xml:space="preserve"> and </w:t>
      </w:r>
      <w:r w:rsidR="00072DFA">
        <w:t xml:space="preserve">all </w:t>
      </w:r>
      <w:r>
        <w:t>technical assistance for</w:t>
      </w:r>
      <w:r w:rsidR="00072DFA">
        <w:t xml:space="preserve"> </w:t>
      </w:r>
      <w:r>
        <w:t>Michigan CoCs</w:t>
      </w:r>
      <w:r w:rsidR="00072DFA">
        <w:t>.</w:t>
      </w:r>
      <w:r>
        <w:t xml:space="preserve"> </w:t>
      </w:r>
    </w:p>
    <w:p w14:paraId="02BFAC41" w14:textId="51815FE2" w:rsidR="00072DFA" w:rsidRDefault="005E5DAE" w:rsidP="00072DFA">
      <w:r>
        <w:t>We cannot afford to lose</w:t>
      </w:r>
      <w:r w:rsidR="00072DFA">
        <w:t xml:space="preserve"> functionality</w:t>
      </w:r>
      <w:r>
        <w:t xml:space="preserve">. </w:t>
      </w:r>
      <w:r w:rsidR="00072DFA">
        <w:t xml:space="preserve">For example, it took us approximately 18 months from signing the contract until the Green River Open Path data warehouse went online. If we lost the data warehouse, we would need between 12 and 18 months </w:t>
      </w:r>
      <w:r w:rsidR="002D59D1">
        <w:t>and double the annual cost and staff time to rebuild the system</w:t>
      </w:r>
      <w:r w:rsidR="00072DFA">
        <w:t xml:space="preserve">.  </w:t>
      </w:r>
    </w:p>
    <w:tbl>
      <w:tblPr>
        <w:tblStyle w:val="TableGrid"/>
        <w:tblpPr w:leftFromText="180" w:rightFromText="180" w:vertAnchor="text" w:horzAnchor="margin" w:tblpY="1366"/>
        <w:tblW w:w="0" w:type="auto"/>
        <w:shd w:val="clear" w:color="auto" w:fill="F2F2F2" w:themeFill="background1" w:themeFillShade="F2"/>
        <w:tblCellMar>
          <w:top w:w="216" w:type="dxa"/>
          <w:left w:w="216" w:type="dxa"/>
          <w:bottom w:w="216" w:type="dxa"/>
          <w:right w:w="216" w:type="dxa"/>
        </w:tblCellMar>
        <w:tblLook w:val="04A0" w:firstRow="1" w:lastRow="0" w:firstColumn="1" w:lastColumn="0" w:noHBand="0" w:noVBand="1"/>
      </w:tblPr>
      <w:tblGrid>
        <w:gridCol w:w="9350"/>
      </w:tblGrid>
      <w:tr w:rsidR="0089668E" w14:paraId="13A46DF7" w14:textId="77777777" w:rsidTr="0089668E">
        <w:tc>
          <w:tcPr>
            <w:tcW w:w="9350" w:type="dxa"/>
            <w:shd w:val="clear" w:color="auto" w:fill="F2F2F2" w:themeFill="background1" w:themeFillShade="F2"/>
          </w:tcPr>
          <w:p w14:paraId="6555477D" w14:textId="77777777" w:rsidR="0089668E" w:rsidRPr="005A3C59" w:rsidRDefault="0089668E" w:rsidP="0089668E">
            <w:pPr>
              <w:rPr>
                <w:b/>
                <w:bCs/>
                <w:i/>
                <w:iCs/>
              </w:rPr>
            </w:pPr>
            <w:r w:rsidRPr="005A3C59">
              <w:rPr>
                <w:b/>
                <w:bCs/>
                <w:i/>
                <w:iCs/>
              </w:rPr>
              <w:t xml:space="preserve">Although HMIS may seem expendable when we are facing the loss of housing across the state, please remember that HMIS is essential for all CoCs to </w:t>
            </w:r>
            <w:r>
              <w:rPr>
                <w:b/>
                <w:bCs/>
                <w:i/>
                <w:iCs/>
              </w:rPr>
              <w:t>remain compliant with grant obligations</w:t>
            </w:r>
            <w:r w:rsidRPr="005A3C59">
              <w:rPr>
                <w:b/>
                <w:bCs/>
                <w:i/>
                <w:iCs/>
              </w:rPr>
              <w:t>.  Loss of our HMIS would put approximately $1</w:t>
            </w:r>
            <w:r>
              <w:rPr>
                <w:b/>
                <w:bCs/>
                <w:i/>
                <w:iCs/>
              </w:rPr>
              <w:t>08</w:t>
            </w:r>
            <w:r w:rsidRPr="005A3C59">
              <w:rPr>
                <w:b/>
                <w:bCs/>
                <w:i/>
                <w:iCs/>
              </w:rPr>
              <w:t xml:space="preserve"> million in CoC Program funding at risk.</w:t>
            </w:r>
          </w:p>
        </w:tc>
      </w:tr>
      <w:tr w:rsidR="00D866DC" w14:paraId="2796C8AA" w14:textId="77777777" w:rsidTr="0089668E">
        <w:tc>
          <w:tcPr>
            <w:tcW w:w="9350" w:type="dxa"/>
            <w:shd w:val="clear" w:color="auto" w:fill="F2F2F2" w:themeFill="background1" w:themeFillShade="F2"/>
          </w:tcPr>
          <w:p w14:paraId="0C7CB775" w14:textId="77777777" w:rsidR="00D866DC" w:rsidRPr="005A3C59" w:rsidRDefault="00D866DC" w:rsidP="0089668E">
            <w:pPr>
              <w:rPr>
                <w:b/>
                <w:bCs/>
                <w:i/>
                <w:iCs/>
              </w:rPr>
            </w:pPr>
          </w:p>
        </w:tc>
      </w:tr>
    </w:tbl>
    <w:p w14:paraId="67269EBF" w14:textId="748A66BF" w:rsidR="002D59D1" w:rsidRDefault="005E5DAE" w:rsidP="002D59D1">
      <w:r w:rsidRPr="005E5DAE">
        <w:t xml:space="preserve">Local </w:t>
      </w:r>
      <w:r w:rsidR="002D59D1" w:rsidRPr="005E5DAE">
        <w:t>CoC</w:t>
      </w:r>
      <w:r w:rsidRPr="005E5DAE">
        <w:t xml:space="preserve"> HMIS systems</w:t>
      </w:r>
      <w:r w:rsidR="002D59D1">
        <w:t xml:space="preserve"> who have split from a larger implementation to launch their own usually see </w:t>
      </w:r>
      <w:r w:rsidR="002D59D1" w:rsidRPr="002D59D1">
        <w:rPr>
          <w:kern w:val="0"/>
          <w14:ligatures w14:val="none"/>
        </w:rPr>
        <w:t>their HMIS software spending increase by</w:t>
      </w:r>
      <w:r w:rsidR="002D59D1">
        <w:t xml:space="preserve"> 60%-300%.  </w:t>
      </w:r>
      <w:r>
        <w:t>CoCs would need to at least double the size of their HMIS team</w:t>
      </w:r>
      <w:r w:rsidR="002D59D1">
        <w:t xml:space="preserve">.  Additionally, migrating from one HMIS system to another typically takes 12-24 months. </w:t>
      </w:r>
    </w:p>
    <w:p w14:paraId="76BE232D" w14:textId="580B63B7" w:rsidR="005A3C59" w:rsidRDefault="005A3C59" w:rsidP="002D59D1"/>
    <w:p w14:paraId="136F6457" w14:textId="77777777" w:rsidR="005A3C59" w:rsidRDefault="005A3C59" w:rsidP="002D59D1"/>
    <w:p w14:paraId="7A4DD65A" w14:textId="77777777" w:rsidR="00D866DC" w:rsidRDefault="00D866DC" w:rsidP="001D7DF8">
      <w:pPr>
        <w:rPr>
          <w:b/>
          <w:bCs/>
        </w:rPr>
      </w:pPr>
    </w:p>
    <w:p w14:paraId="60F5301D" w14:textId="5047CD87" w:rsidR="001D7DF8" w:rsidRDefault="001D7DF8" w:rsidP="001D7DF8">
      <w:pPr>
        <w:rPr>
          <w:b/>
          <w:bCs/>
        </w:rPr>
      </w:pPr>
    </w:p>
    <w:p w14:paraId="5E93155F" w14:textId="77777777" w:rsidR="00D866DC" w:rsidRDefault="00D866DC" w:rsidP="001D7DF8">
      <w:pPr>
        <w:rPr>
          <w:b/>
          <w:bCs/>
        </w:rPr>
      </w:pPr>
    </w:p>
    <w:p w14:paraId="01398F6F" w14:textId="01D36D3D" w:rsidR="00D866DC" w:rsidRPr="001D7DF8" w:rsidRDefault="00D866DC" w:rsidP="001D7DF8">
      <w:pPr>
        <w:rPr>
          <w:b/>
          <w:bCs/>
        </w:rPr>
      </w:pPr>
      <w:r>
        <w:rPr>
          <w:b/>
          <w:bCs/>
        </w:rPr>
        <w:t>ACTION STEPS:</w:t>
      </w:r>
    </w:p>
    <w:p w14:paraId="3943BA21" w14:textId="783D0590" w:rsidR="001D7DF8" w:rsidRDefault="001D7DF8" w:rsidP="001D7DF8">
      <w:pPr>
        <w:pStyle w:val="ListParagraph"/>
        <w:numPr>
          <w:ilvl w:val="1"/>
          <w:numId w:val="1"/>
        </w:numPr>
      </w:pPr>
      <w:r>
        <w:t>Advocate for the THUD Amendment sponsored by Senator Re</w:t>
      </w:r>
      <w:r w:rsidR="0089668E">
        <w:t>e</w:t>
      </w:r>
      <w:r>
        <w:t>d, requiring continuation of the FY2024 and FY2025 NOFO allocations through the end of the FY.</w:t>
      </w:r>
    </w:p>
    <w:p w14:paraId="76485C8D" w14:textId="7973B641" w:rsidR="001D7DF8" w:rsidRDefault="001D7DF8" w:rsidP="001D7DF8">
      <w:pPr>
        <w:pStyle w:val="ListParagraph"/>
        <w:numPr>
          <w:ilvl w:val="1"/>
          <w:numId w:val="1"/>
        </w:numPr>
      </w:pPr>
      <w:r>
        <w:t>Contact your Michigan Legislators to secure</w:t>
      </w:r>
      <w:r w:rsidR="0089668E">
        <w:t xml:space="preserve"> $12.5 million in</w:t>
      </w:r>
      <w:r>
        <w:t xml:space="preserve"> gap funding for homeless projects affected by the current NOFO process, including HMIS funding.  </w:t>
      </w:r>
    </w:p>
    <w:p w14:paraId="69C420DB" w14:textId="40424B80" w:rsidR="00DE4E5B" w:rsidRPr="00DE4E5B" w:rsidRDefault="001D7DF8" w:rsidP="00DE4E5B">
      <w:pPr>
        <w:pStyle w:val="ListParagraph"/>
        <w:numPr>
          <w:ilvl w:val="1"/>
          <w:numId w:val="1"/>
        </w:numPr>
      </w:pPr>
      <w:proofErr w:type="gramStart"/>
      <w:r>
        <w:t>Advocate for</w:t>
      </w:r>
      <w:proofErr w:type="gramEnd"/>
      <w:r>
        <w:t xml:space="preserve"> the importance of continuing HMIS funding with state agencies and partners who work throughout the state to address homelessness.</w:t>
      </w:r>
    </w:p>
    <w:sectPr w:rsidR="00DE4E5B" w:rsidRPr="00DE4E5B" w:rsidSect="001D7DF8">
      <w:footerReference w:type="default" r:id="rId7"/>
      <w:pgSz w:w="12240" w:h="15840"/>
      <w:pgMar w:top="1008"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A066" w14:textId="77777777" w:rsidR="00A06C23" w:rsidRDefault="00A06C23" w:rsidP="001D7DF8">
      <w:pPr>
        <w:spacing w:after="0" w:line="240" w:lineRule="auto"/>
      </w:pPr>
      <w:r>
        <w:separator/>
      </w:r>
    </w:p>
  </w:endnote>
  <w:endnote w:type="continuationSeparator" w:id="0">
    <w:p w14:paraId="09E31DE7" w14:textId="77777777" w:rsidR="00A06C23" w:rsidRDefault="00A06C23" w:rsidP="001D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340"/>
      <w:gridCol w:w="3770"/>
    </w:tblGrid>
    <w:tr w:rsidR="001D7DF8" w14:paraId="1D17192F" w14:textId="77777777" w:rsidTr="001D7DF8">
      <w:tc>
        <w:tcPr>
          <w:tcW w:w="3960" w:type="dxa"/>
        </w:tcPr>
        <w:p w14:paraId="7371BDDB" w14:textId="06E93F29" w:rsidR="001D7DF8" w:rsidRPr="00F62F53" w:rsidRDefault="001D7DF8" w:rsidP="001D7DF8">
          <w:pPr>
            <w:pStyle w:val="Footer"/>
            <w:rPr>
              <w:sz w:val="20"/>
              <w:szCs w:val="20"/>
            </w:rPr>
          </w:pPr>
          <w:r>
            <w:rPr>
              <w:sz w:val="20"/>
              <w:szCs w:val="20"/>
            </w:rPr>
            <w:t>Status of HMIS in Michigan</w:t>
          </w:r>
        </w:p>
      </w:tc>
      <w:tc>
        <w:tcPr>
          <w:tcW w:w="2340" w:type="dxa"/>
        </w:tcPr>
        <w:p w14:paraId="6D8D5F42" w14:textId="77777777" w:rsidR="001D7DF8" w:rsidRPr="00F62F53" w:rsidRDefault="001D7DF8" w:rsidP="001D7DF8">
          <w:pPr>
            <w:pStyle w:val="Footer"/>
            <w:jc w:val="center"/>
            <w:rPr>
              <w:sz w:val="20"/>
              <w:szCs w:val="20"/>
            </w:rPr>
          </w:pPr>
          <w:r w:rsidRPr="00FA638B">
            <w:rPr>
              <w:sz w:val="20"/>
              <w:szCs w:val="20"/>
            </w:rPr>
            <w:fldChar w:fldCharType="begin"/>
          </w:r>
          <w:r w:rsidRPr="00FA638B">
            <w:rPr>
              <w:sz w:val="20"/>
              <w:szCs w:val="20"/>
            </w:rPr>
            <w:instrText xml:space="preserve"> PAGE   \* MERGEFORMAT </w:instrText>
          </w:r>
          <w:r w:rsidRPr="00FA638B">
            <w:rPr>
              <w:sz w:val="20"/>
              <w:szCs w:val="20"/>
            </w:rPr>
            <w:fldChar w:fldCharType="separate"/>
          </w:r>
          <w:r>
            <w:rPr>
              <w:noProof/>
              <w:sz w:val="20"/>
              <w:szCs w:val="20"/>
            </w:rPr>
            <w:t>28</w:t>
          </w:r>
          <w:r w:rsidRPr="00FA638B">
            <w:rPr>
              <w:noProof/>
              <w:sz w:val="20"/>
              <w:szCs w:val="20"/>
            </w:rPr>
            <w:fldChar w:fldCharType="end"/>
          </w:r>
        </w:p>
      </w:tc>
      <w:tc>
        <w:tcPr>
          <w:tcW w:w="3770" w:type="dxa"/>
        </w:tcPr>
        <w:p w14:paraId="638C6BF9" w14:textId="3B6CAE6A" w:rsidR="001D7DF8" w:rsidRDefault="001D7DF8" w:rsidP="001D7DF8">
          <w:pPr>
            <w:pStyle w:val="Footer"/>
            <w:jc w:val="right"/>
          </w:pPr>
          <w:r>
            <w:rPr>
              <w:sz w:val="20"/>
              <w:szCs w:val="20"/>
            </w:rPr>
            <w:t xml:space="preserve">rev. 01.14.2026 </w:t>
          </w:r>
        </w:p>
      </w:tc>
    </w:tr>
  </w:tbl>
  <w:p w14:paraId="5DF54190" w14:textId="77777777" w:rsidR="001D7DF8" w:rsidRDefault="001D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EBD4" w14:textId="77777777" w:rsidR="00A06C23" w:rsidRDefault="00A06C23" w:rsidP="001D7DF8">
      <w:pPr>
        <w:spacing w:after="0" w:line="240" w:lineRule="auto"/>
      </w:pPr>
      <w:r>
        <w:separator/>
      </w:r>
    </w:p>
  </w:footnote>
  <w:footnote w:type="continuationSeparator" w:id="0">
    <w:p w14:paraId="5E33FD3A" w14:textId="77777777" w:rsidR="00A06C23" w:rsidRDefault="00A06C23" w:rsidP="001D7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B3E07"/>
    <w:multiLevelType w:val="hybridMultilevel"/>
    <w:tmpl w:val="D956356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E0FB3"/>
    <w:multiLevelType w:val="hybridMultilevel"/>
    <w:tmpl w:val="FF9E0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95EFB"/>
    <w:multiLevelType w:val="hybridMultilevel"/>
    <w:tmpl w:val="6EA6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215647">
    <w:abstractNumId w:val="0"/>
  </w:num>
  <w:num w:numId="2" w16cid:durableId="4331592">
    <w:abstractNumId w:val="1"/>
  </w:num>
  <w:num w:numId="3" w16cid:durableId="1090542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5B"/>
    <w:rsid w:val="00033E13"/>
    <w:rsid w:val="00072DFA"/>
    <w:rsid w:val="000A4EB2"/>
    <w:rsid w:val="001D7DF8"/>
    <w:rsid w:val="002D59D1"/>
    <w:rsid w:val="003238BF"/>
    <w:rsid w:val="00452F3F"/>
    <w:rsid w:val="005A3C59"/>
    <w:rsid w:val="005E5DAE"/>
    <w:rsid w:val="00636C48"/>
    <w:rsid w:val="00645614"/>
    <w:rsid w:val="006B163E"/>
    <w:rsid w:val="0084209B"/>
    <w:rsid w:val="0089668E"/>
    <w:rsid w:val="00A06C23"/>
    <w:rsid w:val="00AD395E"/>
    <w:rsid w:val="00AE29CF"/>
    <w:rsid w:val="00C21F7F"/>
    <w:rsid w:val="00C569F4"/>
    <w:rsid w:val="00CB0045"/>
    <w:rsid w:val="00D866DC"/>
    <w:rsid w:val="00DE4E5B"/>
    <w:rsid w:val="00EE37ED"/>
    <w:rsid w:val="00FA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3917"/>
  <w15:chartTrackingRefBased/>
  <w15:docId w15:val="{3B9ED5BB-79A2-284C-9175-6AE2B6E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E5B"/>
    <w:rPr>
      <w:rFonts w:eastAsiaTheme="majorEastAsia" w:cstheme="majorBidi"/>
      <w:color w:val="272727" w:themeColor="text1" w:themeTint="D8"/>
    </w:rPr>
  </w:style>
  <w:style w:type="paragraph" w:styleId="Title">
    <w:name w:val="Title"/>
    <w:basedOn w:val="Normal"/>
    <w:next w:val="Normal"/>
    <w:link w:val="TitleChar"/>
    <w:uiPriority w:val="10"/>
    <w:qFormat/>
    <w:rsid w:val="00DE4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E5B"/>
    <w:pPr>
      <w:spacing w:before="160"/>
      <w:jc w:val="center"/>
    </w:pPr>
    <w:rPr>
      <w:i/>
      <w:iCs/>
      <w:color w:val="404040" w:themeColor="text1" w:themeTint="BF"/>
    </w:rPr>
  </w:style>
  <w:style w:type="character" w:customStyle="1" w:styleId="QuoteChar">
    <w:name w:val="Quote Char"/>
    <w:basedOn w:val="DefaultParagraphFont"/>
    <w:link w:val="Quote"/>
    <w:uiPriority w:val="29"/>
    <w:rsid w:val="00DE4E5B"/>
    <w:rPr>
      <w:i/>
      <w:iCs/>
      <w:color w:val="404040" w:themeColor="text1" w:themeTint="BF"/>
    </w:rPr>
  </w:style>
  <w:style w:type="paragraph" w:styleId="ListParagraph">
    <w:name w:val="List Paragraph"/>
    <w:basedOn w:val="Normal"/>
    <w:uiPriority w:val="34"/>
    <w:qFormat/>
    <w:rsid w:val="00DE4E5B"/>
    <w:pPr>
      <w:ind w:left="720"/>
      <w:contextualSpacing/>
    </w:pPr>
  </w:style>
  <w:style w:type="character" w:styleId="IntenseEmphasis">
    <w:name w:val="Intense Emphasis"/>
    <w:basedOn w:val="DefaultParagraphFont"/>
    <w:uiPriority w:val="21"/>
    <w:qFormat/>
    <w:rsid w:val="00DE4E5B"/>
    <w:rPr>
      <w:i/>
      <w:iCs/>
      <w:color w:val="0F4761" w:themeColor="accent1" w:themeShade="BF"/>
    </w:rPr>
  </w:style>
  <w:style w:type="paragraph" w:styleId="IntenseQuote">
    <w:name w:val="Intense Quote"/>
    <w:basedOn w:val="Normal"/>
    <w:next w:val="Normal"/>
    <w:link w:val="IntenseQuoteChar"/>
    <w:uiPriority w:val="30"/>
    <w:qFormat/>
    <w:rsid w:val="00DE4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E5B"/>
    <w:rPr>
      <w:i/>
      <w:iCs/>
      <w:color w:val="0F4761" w:themeColor="accent1" w:themeShade="BF"/>
    </w:rPr>
  </w:style>
  <w:style w:type="character" w:styleId="IntenseReference">
    <w:name w:val="Intense Reference"/>
    <w:basedOn w:val="DefaultParagraphFont"/>
    <w:uiPriority w:val="32"/>
    <w:qFormat/>
    <w:rsid w:val="00DE4E5B"/>
    <w:rPr>
      <w:b/>
      <w:bCs/>
      <w:smallCaps/>
      <w:color w:val="0F4761" w:themeColor="accent1" w:themeShade="BF"/>
      <w:spacing w:val="5"/>
    </w:rPr>
  </w:style>
  <w:style w:type="table" w:styleId="TableGrid">
    <w:name w:val="Table Grid"/>
    <w:basedOn w:val="TableNormal"/>
    <w:uiPriority w:val="39"/>
    <w:rsid w:val="005A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DF8"/>
  </w:style>
  <w:style w:type="paragraph" w:styleId="Footer">
    <w:name w:val="footer"/>
    <w:basedOn w:val="Normal"/>
    <w:link w:val="FooterChar"/>
    <w:uiPriority w:val="99"/>
    <w:unhideWhenUsed/>
    <w:rsid w:val="001D7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3068</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Leslie</dc:creator>
  <cp:keywords/>
  <dc:description/>
  <cp:lastModifiedBy>Sarah Rennie</cp:lastModifiedBy>
  <cp:revision>2</cp:revision>
  <dcterms:created xsi:type="dcterms:W3CDTF">2026-01-21T15:55:00Z</dcterms:created>
  <dcterms:modified xsi:type="dcterms:W3CDTF">2026-01-21T15:55:00Z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e241c225-ab7f-4c3c-ab48-f46dbc245146</vt:lpwstr>
  </property>
</Properties>
</file>